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EEA05" w14:textId="14CEBF03" w:rsidR="0062770F" w:rsidRPr="007B73CE" w:rsidRDefault="00BF5329" w:rsidP="007B73CE">
      <w:pPr>
        <w:spacing w:after="0" w:line="240" w:lineRule="auto"/>
        <w:rPr>
          <w:rFonts w:ascii="Arial" w:eastAsia="Arial" w:hAnsi="Arial" w:cs="Arial"/>
          <w:b/>
          <w:bCs/>
          <w:sz w:val="20"/>
          <w:szCs w:val="20"/>
        </w:rPr>
      </w:pPr>
      <w:r>
        <w:rPr>
          <w:rFonts w:ascii="Arial" w:hAnsi="Arial"/>
          <w:b/>
          <w:sz w:val="20"/>
        </w:rPr>
        <w:t>032 Protéger les monts sous-marins et les écosystèmes marins vulnérables contre les pratiques destructrices</w:t>
      </w:r>
    </w:p>
    <w:p w14:paraId="148C2AEE" w14:textId="77777777" w:rsidR="007B73CE" w:rsidRPr="007B73CE" w:rsidRDefault="007B73CE" w:rsidP="007B73CE">
      <w:pPr>
        <w:spacing w:after="0" w:line="240" w:lineRule="auto"/>
        <w:rPr>
          <w:rFonts w:ascii="Arial" w:eastAsia="Arial" w:hAnsi="Arial" w:cs="Arial"/>
          <w:sz w:val="20"/>
          <w:szCs w:val="20"/>
        </w:rPr>
      </w:pPr>
    </w:p>
    <w:p w14:paraId="5FAB5414" w14:textId="62F352CD" w:rsidR="007B73CE" w:rsidRDefault="1F69409D" w:rsidP="007B73CE">
      <w:pPr>
        <w:spacing w:after="0" w:line="240" w:lineRule="auto"/>
        <w:rPr>
          <w:rFonts w:ascii="Arial" w:hAnsi="Arial"/>
          <w:sz w:val="20"/>
        </w:rPr>
      </w:pPr>
      <w:r>
        <w:rPr>
          <w:rFonts w:ascii="Arial" w:hAnsi="Arial"/>
          <w:sz w:val="20"/>
        </w:rPr>
        <w:t>RAPPELANT la Résolution</w:t>
      </w:r>
      <w:r w:rsidR="00A95CC5">
        <w:rPr>
          <w:rFonts w:ascii="Arial" w:hAnsi="Arial"/>
          <w:sz w:val="20"/>
        </w:rPr>
        <w:t> </w:t>
      </w:r>
      <w:r>
        <w:rPr>
          <w:rFonts w:ascii="Arial" w:hAnsi="Arial"/>
          <w:sz w:val="20"/>
        </w:rPr>
        <w:t xml:space="preserve">3.066 </w:t>
      </w:r>
      <w:r>
        <w:rPr>
          <w:rFonts w:ascii="Arial" w:hAnsi="Arial"/>
          <w:i/>
          <w:sz w:val="20"/>
        </w:rPr>
        <w:t xml:space="preserve">La protection des monts sous-marins, des coraux des fonds marins et d’autres habitats vulnérables des fonds marins contre des pratiques de pêche destructrices en haute mer, y compris le chalutage de fond </w:t>
      </w:r>
      <w:r w:rsidR="00232884" w:rsidRPr="00A95CC5">
        <w:rPr>
          <w:rFonts w:ascii="Arial" w:hAnsi="Arial"/>
          <w:sz w:val="20"/>
        </w:rPr>
        <w:t>de l’UICN</w:t>
      </w:r>
      <w:r w:rsidR="00232884">
        <w:rPr>
          <w:rFonts w:ascii="Arial" w:hAnsi="Arial"/>
          <w:i/>
          <w:sz w:val="20"/>
        </w:rPr>
        <w:t xml:space="preserve"> </w:t>
      </w:r>
      <w:r>
        <w:rPr>
          <w:rFonts w:ascii="Arial" w:hAnsi="Arial"/>
          <w:sz w:val="20"/>
        </w:rPr>
        <w:t>(Bangkok, 2004) ;</w:t>
      </w:r>
    </w:p>
    <w:p w14:paraId="636F65D2" w14:textId="77777777" w:rsidR="00BB770F" w:rsidRDefault="00BB770F" w:rsidP="007B73CE">
      <w:pPr>
        <w:spacing w:after="0" w:line="240" w:lineRule="auto"/>
        <w:rPr>
          <w:rFonts w:ascii="Arial" w:hAnsi="Arial"/>
          <w:sz w:val="20"/>
        </w:rPr>
      </w:pPr>
    </w:p>
    <w:p w14:paraId="3C2D7A54" w14:textId="1B17FCC6" w:rsidR="00BB770F" w:rsidRDefault="00BB770F" w:rsidP="007B73CE">
      <w:pPr>
        <w:spacing w:after="0" w:line="240" w:lineRule="auto"/>
        <w:rPr>
          <w:rFonts w:ascii="Arial" w:hAnsi="Arial" w:cs="Arial"/>
          <w:sz w:val="20"/>
          <w:szCs w:val="20"/>
        </w:rPr>
      </w:pPr>
      <w:r>
        <w:rPr>
          <w:rFonts w:ascii="Arial" w:hAnsi="Arial"/>
          <w:sz w:val="20"/>
        </w:rPr>
        <w:t xml:space="preserve">RAPPELANT que de nombreux monts sous-marins résultent de processus géologiques uniques sur Terre et qu’ils abritent une </w:t>
      </w:r>
      <w:proofErr w:type="spellStart"/>
      <w:r>
        <w:rPr>
          <w:rFonts w:ascii="Arial" w:hAnsi="Arial"/>
          <w:sz w:val="20"/>
        </w:rPr>
        <w:t>géodiversité</w:t>
      </w:r>
      <w:proofErr w:type="spellEnd"/>
      <w:r>
        <w:rPr>
          <w:rFonts w:ascii="Arial" w:hAnsi="Arial"/>
          <w:sz w:val="20"/>
        </w:rPr>
        <w:t xml:space="preserve"> riche assortie d’un héritage géologique qu’il est de notre devoir de reconnaître et </w:t>
      </w:r>
      <w:r w:rsidR="00501584">
        <w:rPr>
          <w:rFonts w:ascii="Arial" w:hAnsi="Arial"/>
          <w:sz w:val="20"/>
        </w:rPr>
        <w:t>conserver</w:t>
      </w:r>
      <w:r>
        <w:rPr>
          <w:rFonts w:ascii="Arial" w:hAnsi="Arial"/>
          <w:sz w:val="20"/>
        </w:rPr>
        <w:t> ;</w:t>
      </w:r>
    </w:p>
    <w:p w14:paraId="1477199B" w14:textId="77777777" w:rsidR="007B73CE" w:rsidRDefault="007B73CE" w:rsidP="007B73CE">
      <w:pPr>
        <w:spacing w:after="0" w:line="240" w:lineRule="auto"/>
        <w:rPr>
          <w:rFonts w:ascii="Arial" w:hAnsi="Arial" w:cs="Arial"/>
          <w:sz w:val="20"/>
          <w:szCs w:val="20"/>
        </w:rPr>
      </w:pPr>
    </w:p>
    <w:p w14:paraId="4C69ABAF" w14:textId="7984B01A" w:rsidR="007B73CE" w:rsidRDefault="1F69409D" w:rsidP="007B73CE">
      <w:pPr>
        <w:spacing w:after="0" w:line="240" w:lineRule="auto"/>
        <w:rPr>
          <w:rFonts w:ascii="Arial" w:hAnsi="Arial" w:cs="Arial"/>
          <w:sz w:val="20"/>
          <w:szCs w:val="20"/>
        </w:rPr>
      </w:pPr>
      <w:r>
        <w:rPr>
          <w:rFonts w:ascii="Arial" w:hAnsi="Arial"/>
          <w:sz w:val="20"/>
        </w:rPr>
        <w:t xml:space="preserve">RAPPELANT </w:t>
      </w:r>
      <w:r w:rsidR="003E3EFD">
        <w:rPr>
          <w:rFonts w:ascii="Arial" w:hAnsi="Arial"/>
          <w:sz w:val="20"/>
        </w:rPr>
        <w:t xml:space="preserve">AUSSI </w:t>
      </w:r>
      <w:r>
        <w:rPr>
          <w:rFonts w:ascii="Arial" w:hAnsi="Arial"/>
          <w:sz w:val="20"/>
        </w:rPr>
        <w:t>les Résolutions 61/105 (2006) et 64/72 (2009) de l’Assemblée générale des Nations Unies engageant les États à interdire la pêche de fond dans les des zones ne relevant pas de la juridiction nationale dès lors que des écosystèmes marins vulnérables (EMV), notamment des monts sous-marins, ont été repérés ou pourraient exister</w:t>
      </w:r>
      <w:r w:rsidR="005A0F95">
        <w:rPr>
          <w:rFonts w:ascii="Arial" w:hAnsi="Arial"/>
          <w:sz w:val="20"/>
        </w:rPr>
        <w:t xml:space="preserve">, </w:t>
      </w:r>
      <w:r w:rsidR="006555CC">
        <w:rPr>
          <w:rFonts w:ascii="Arial" w:hAnsi="Arial"/>
          <w:sz w:val="20"/>
        </w:rPr>
        <w:t>sauf si des mesures de conservation et de gestion ont été adoptées et mises en œuvre concrètement pour empêcher tout</w:t>
      </w:r>
      <w:r w:rsidR="006D52DC">
        <w:rPr>
          <w:rFonts w:ascii="Arial" w:hAnsi="Arial"/>
          <w:sz w:val="20"/>
        </w:rPr>
        <w:t>e</w:t>
      </w:r>
      <w:r w:rsidR="006555CC">
        <w:rPr>
          <w:rFonts w:ascii="Arial" w:hAnsi="Arial"/>
          <w:sz w:val="20"/>
        </w:rPr>
        <w:t xml:space="preserve"> incidence négative considérable sur les EMV, reconnaissant les différentes caractéristiques écologiques régionales, y compris les zones sans caractéristiques propres à des monts sous-marins ou à de grands fonds marins, à l’instar des </w:t>
      </w:r>
      <w:r w:rsidR="00124870">
        <w:rPr>
          <w:rFonts w:ascii="Arial" w:hAnsi="Arial"/>
          <w:sz w:val="20"/>
        </w:rPr>
        <w:t>mers épicontinentales peu profondes et des environnements marins hyperarides</w:t>
      </w:r>
      <w:r>
        <w:rPr>
          <w:rFonts w:ascii="Arial" w:hAnsi="Arial"/>
          <w:sz w:val="20"/>
        </w:rPr>
        <w:t> ;</w:t>
      </w:r>
    </w:p>
    <w:p w14:paraId="5F285DB8" w14:textId="77777777" w:rsidR="007B73CE" w:rsidRDefault="007B73CE" w:rsidP="007B73CE">
      <w:pPr>
        <w:spacing w:after="0" w:line="240" w:lineRule="auto"/>
        <w:rPr>
          <w:rFonts w:ascii="Arial" w:hAnsi="Arial" w:cs="Arial"/>
          <w:sz w:val="20"/>
          <w:szCs w:val="20"/>
        </w:rPr>
      </w:pPr>
    </w:p>
    <w:p w14:paraId="735C12A7" w14:textId="0C13B60A" w:rsidR="007B73CE" w:rsidRDefault="1F69409D" w:rsidP="007B73CE">
      <w:pPr>
        <w:spacing w:after="0" w:line="240" w:lineRule="auto"/>
        <w:rPr>
          <w:rFonts w:ascii="Arial" w:hAnsi="Arial" w:cs="Arial"/>
          <w:sz w:val="20"/>
          <w:szCs w:val="20"/>
        </w:rPr>
      </w:pPr>
      <w:r>
        <w:rPr>
          <w:rFonts w:ascii="Arial" w:hAnsi="Arial"/>
          <w:sz w:val="20"/>
        </w:rPr>
        <w:t>RECONNAISSANT les progrès réalisés depuis 2004 dans la protection des EMV contre les dommages causés par le chalutage de fond, en particulier les efforts déployés par les organismes et arrangements régionaux de gestion des pêches compétents (ORGP/ARGP) qui ont interdit l’accès à certains monts sous-marins ainsi qu’à plusieurs sections des systèmes de dorsales océaniques et d’autres zones où des EMV ont été repérés ou pourraient exister ;</w:t>
      </w:r>
    </w:p>
    <w:p w14:paraId="143D91CE" w14:textId="77777777" w:rsidR="007B73CE" w:rsidRDefault="007B73CE" w:rsidP="007B73CE">
      <w:pPr>
        <w:spacing w:after="0" w:line="240" w:lineRule="auto"/>
        <w:rPr>
          <w:rFonts w:ascii="Arial" w:hAnsi="Arial" w:cs="Arial"/>
          <w:sz w:val="20"/>
          <w:szCs w:val="20"/>
        </w:rPr>
      </w:pPr>
    </w:p>
    <w:p w14:paraId="7926D54D" w14:textId="5446328B" w:rsidR="007B73CE" w:rsidRDefault="1F69409D" w:rsidP="007B73CE">
      <w:pPr>
        <w:spacing w:after="0" w:line="240" w:lineRule="auto"/>
        <w:rPr>
          <w:rFonts w:ascii="Arial" w:hAnsi="Arial" w:cs="Arial"/>
          <w:sz w:val="20"/>
          <w:szCs w:val="20"/>
        </w:rPr>
      </w:pPr>
      <w:r>
        <w:rPr>
          <w:rFonts w:ascii="Arial" w:hAnsi="Arial"/>
          <w:sz w:val="20"/>
        </w:rPr>
        <w:t>NOTANT l’exigence contenue dans l’article</w:t>
      </w:r>
      <w:r w:rsidR="00A95CC5">
        <w:rPr>
          <w:rFonts w:ascii="Arial" w:hAnsi="Arial"/>
          <w:sz w:val="20"/>
        </w:rPr>
        <w:t> </w:t>
      </w:r>
      <w:r>
        <w:rPr>
          <w:rFonts w:ascii="Arial" w:hAnsi="Arial"/>
          <w:sz w:val="20"/>
        </w:rPr>
        <w:t>194, paragraphe</w:t>
      </w:r>
      <w:r w:rsidR="00A95CC5">
        <w:rPr>
          <w:rFonts w:ascii="Arial" w:hAnsi="Arial"/>
          <w:sz w:val="20"/>
        </w:rPr>
        <w:t> </w:t>
      </w:r>
      <w:r>
        <w:rPr>
          <w:rFonts w:ascii="Arial" w:hAnsi="Arial"/>
          <w:sz w:val="20"/>
        </w:rPr>
        <w:t>5, de la Convention des Nations Unies sur le droit de la mer (</w:t>
      </w:r>
      <w:r w:rsidR="00A647B1">
        <w:rPr>
          <w:rFonts w:ascii="Arial" w:hAnsi="Arial"/>
          <w:sz w:val="20"/>
        </w:rPr>
        <w:t>CNUDM</w:t>
      </w:r>
      <w:r>
        <w:rPr>
          <w:rFonts w:ascii="Arial" w:hAnsi="Arial"/>
          <w:sz w:val="20"/>
        </w:rPr>
        <w:t>) en vue de prendre des mesures « nécessaires pour protéger et préserver les écosystèmes rares ou délicats ainsi que l’habitat des espèces et autres organismes marins en régression, menaces ou en voie d’extinction » ;</w:t>
      </w:r>
    </w:p>
    <w:p w14:paraId="4E320F4E" w14:textId="77777777" w:rsidR="007B73CE" w:rsidRDefault="007B73CE" w:rsidP="007B73CE">
      <w:pPr>
        <w:spacing w:after="0" w:line="240" w:lineRule="auto"/>
        <w:rPr>
          <w:rFonts w:ascii="Arial" w:hAnsi="Arial" w:cs="Arial"/>
          <w:sz w:val="20"/>
          <w:szCs w:val="20"/>
        </w:rPr>
      </w:pPr>
    </w:p>
    <w:p w14:paraId="7282E538" w14:textId="6A42B1C6" w:rsidR="007B73CE" w:rsidRDefault="1F69409D" w:rsidP="007B73CE">
      <w:pPr>
        <w:spacing w:after="0" w:line="240" w:lineRule="auto"/>
        <w:rPr>
          <w:rFonts w:ascii="Arial" w:eastAsia="Arial" w:hAnsi="Arial" w:cs="Arial"/>
          <w:sz w:val="20"/>
          <w:szCs w:val="20"/>
        </w:rPr>
      </w:pPr>
      <w:r>
        <w:rPr>
          <w:rFonts w:ascii="Arial" w:hAnsi="Arial"/>
          <w:sz w:val="20"/>
        </w:rPr>
        <w:t>NOTANT que l’Assemblée générale des Nations Unies, dans sa Résolution 79/145, reconna</w:t>
      </w:r>
      <w:r w:rsidR="006D52DC">
        <w:rPr>
          <w:rFonts w:ascii="Arial" w:hAnsi="Arial"/>
          <w:sz w:val="20"/>
        </w:rPr>
        <w:t>ît</w:t>
      </w:r>
      <w:r>
        <w:rPr>
          <w:rFonts w:ascii="Arial" w:hAnsi="Arial"/>
          <w:sz w:val="20"/>
        </w:rPr>
        <w:t xml:space="preserve"> « l’importance et la valeur immenses des écosystèmes des grands fonds marins et de la diversité biologique qu’ils renferment, comme le montre la première Évaluation mondiale de l’océan » ;</w:t>
      </w:r>
    </w:p>
    <w:p w14:paraId="0357077A" w14:textId="444A50C2" w:rsidR="007B73CE" w:rsidRDefault="007B73CE" w:rsidP="007B73CE">
      <w:pPr>
        <w:spacing w:after="0" w:line="240" w:lineRule="auto"/>
        <w:rPr>
          <w:rFonts w:ascii="Arial" w:eastAsia="Arial" w:hAnsi="Arial" w:cs="Arial"/>
          <w:sz w:val="20"/>
          <w:szCs w:val="20"/>
        </w:rPr>
      </w:pPr>
    </w:p>
    <w:p w14:paraId="01BDC9B3" w14:textId="45F42197" w:rsidR="007B73CE" w:rsidRDefault="1F69409D" w:rsidP="007B73CE">
      <w:pPr>
        <w:spacing w:after="0" w:line="240" w:lineRule="auto"/>
        <w:rPr>
          <w:rFonts w:ascii="Arial" w:hAnsi="Arial" w:cs="Arial"/>
          <w:sz w:val="20"/>
          <w:szCs w:val="20"/>
        </w:rPr>
      </w:pPr>
      <w:r>
        <w:rPr>
          <w:rFonts w:ascii="Arial" w:hAnsi="Arial"/>
          <w:sz w:val="20"/>
        </w:rPr>
        <w:t xml:space="preserve">RECONNAISSANT </w:t>
      </w:r>
      <w:r w:rsidR="005D7C8A">
        <w:rPr>
          <w:rFonts w:ascii="Arial" w:hAnsi="Arial"/>
          <w:sz w:val="20"/>
        </w:rPr>
        <w:t xml:space="preserve">que la </w:t>
      </w:r>
      <w:r>
        <w:rPr>
          <w:rFonts w:ascii="Arial" w:hAnsi="Arial"/>
          <w:sz w:val="20"/>
        </w:rPr>
        <w:t>deuxième Évaluation mondiale</w:t>
      </w:r>
      <w:r w:rsidR="00A95CC5">
        <w:rPr>
          <w:rFonts w:ascii="Arial" w:hAnsi="Arial"/>
          <w:sz w:val="20"/>
        </w:rPr>
        <w:t> </w:t>
      </w:r>
      <w:r w:rsidR="007B67AF">
        <w:rPr>
          <w:rFonts w:ascii="Arial" w:hAnsi="Arial"/>
          <w:sz w:val="20"/>
        </w:rPr>
        <w:t xml:space="preserve">2021 </w:t>
      </w:r>
      <w:r>
        <w:rPr>
          <w:rFonts w:ascii="Arial" w:hAnsi="Arial"/>
          <w:sz w:val="20"/>
        </w:rPr>
        <w:t>de l</w:t>
      </w:r>
      <w:r w:rsidR="00A647B1">
        <w:rPr>
          <w:rFonts w:ascii="Arial" w:hAnsi="Arial"/>
          <w:sz w:val="20"/>
        </w:rPr>
        <w:t>’</w:t>
      </w:r>
      <w:r>
        <w:rPr>
          <w:rFonts w:ascii="Arial" w:hAnsi="Arial"/>
          <w:sz w:val="20"/>
        </w:rPr>
        <w:t xml:space="preserve">océan </w:t>
      </w:r>
      <w:r w:rsidR="00A647B1">
        <w:rPr>
          <w:rFonts w:ascii="Arial" w:hAnsi="Arial"/>
          <w:sz w:val="20"/>
        </w:rPr>
        <w:t xml:space="preserve">des Nations Unies </w:t>
      </w:r>
      <w:r w:rsidR="00EC0905">
        <w:rPr>
          <w:rFonts w:ascii="Arial" w:hAnsi="Arial"/>
          <w:sz w:val="20"/>
        </w:rPr>
        <w:t>reconnaît</w:t>
      </w:r>
      <w:r>
        <w:rPr>
          <w:rFonts w:ascii="Arial" w:hAnsi="Arial"/>
          <w:sz w:val="20"/>
        </w:rPr>
        <w:t xml:space="preserve"> que « la pêche, en particulier la pêche au chalut de fond, </w:t>
      </w:r>
      <w:proofErr w:type="spellStart"/>
      <w:r>
        <w:rPr>
          <w:rFonts w:ascii="Arial" w:hAnsi="Arial"/>
          <w:sz w:val="20"/>
        </w:rPr>
        <w:t>constitu</w:t>
      </w:r>
      <w:proofErr w:type="spellEnd"/>
      <w:r>
        <w:rPr>
          <w:rFonts w:ascii="Arial" w:hAnsi="Arial"/>
          <w:sz w:val="20"/>
        </w:rPr>
        <w:t>[e] actuellement la menace la plus importante pour les écosystèmes des monts sous-marins » ;</w:t>
      </w:r>
    </w:p>
    <w:p w14:paraId="481B2D4C" w14:textId="77777777" w:rsidR="007B73CE" w:rsidRDefault="007B73CE" w:rsidP="007B73CE">
      <w:pPr>
        <w:spacing w:after="0" w:line="240" w:lineRule="auto"/>
        <w:rPr>
          <w:rFonts w:ascii="Arial" w:hAnsi="Arial" w:cs="Arial"/>
          <w:sz w:val="20"/>
          <w:szCs w:val="20"/>
        </w:rPr>
      </w:pPr>
    </w:p>
    <w:p w14:paraId="7CCD574A" w14:textId="084C2C20" w:rsidR="007B73CE" w:rsidRDefault="1F69409D" w:rsidP="007B73CE">
      <w:pPr>
        <w:spacing w:after="0" w:line="240" w:lineRule="auto"/>
        <w:rPr>
          <w:rFonts w:ascii="Arial" w:hAnsi="Arial" w:cs="Arial"/>
          <w:sz w:val="20"/>
          <w:szCs w:val="20"/>
        </w:rPr>
      </w:pPr>
      <w:r>
        <w:rPr>
          <w:rFonts w:ascii="Arial" w:hAnsi="Arial"/>
          <w:sz w:val="20"/>
        </w:rPr>
        <w:t>NOTANT que dans sa Résolution 79/145, l’Assemblée générale des Nations Unies souligne que tous les États et les ORGP/ARGP compétents doivent d’urgence tenir l’ensemble de leurs engagements ;</w:t>
      </w:r>
    </w:p>
    <w:p w14:paraId="061922E2" w14:textId="77777777" w:rsidR="007B73CE" w:rsidRDefault="007B73CE" w:rsidP="007B73CE">
      <w:pPr>
        <w:spacing w:after="0" w:line="240" w:lineRule="auto"/>
        <w:rPr>
          <w:rFonts w:ascii="Arial" w:hAnsi="Arial" w:cs="Arial"/>
          <w:sz w:val="20"/>
          <w:szCs w:val="20"/>
        </w:rPr>
      </w:pPr>
    </w:p>
    <w:p w14:paraId="4B56E51C" w14:textId="67637F57" w:rsidR="6CF9E8D1" w:rsidRDefault="1F69409D" w:rsidP="007B73CE">
      <w:pPr>
        <w:spacing w:after="0" w:line="240" w:lineRule="auto"/>
        <w:rPr>
          <w:rFonts w:ascii="Arial" w:hAnsi="Arial"/>
          <w:sz w:val="20"/>
        </w:rPr>
      </w:pPr>
      <w:r>
        <w:rPr>
          <w:rFonts w:ascii="Arial" w:hAnsi="Arial"/>
          <w:sz w:val="20"/>
        </w:rPr>
        <w:t xml:space="preserve">RAPPELANT </w:t>
      </w:r>
      <w:r w:rsidR="0080342C">
        <w:rPr>
          <w:rFonts w:ascii="Arial" w:hAnsi="Arial"/>
          <w:sz w:val="20"/>
        </w:rPr>
        <w:t xml:space="preserve">EN OUTRE </w:t>
      </w:r>
      <w:r>
        <w:rPr>
          <w:rFonts w:ascii="Arial" w:hAnsi="Arial"/>
          <w:sz w:val="20"/>
        </w:rPr>
        <w:t xml:space="preserve">la </w:t>
      </w:r>
      <w:r w:rsidRPr="00D06BC8">
        <w:rPr>
          <w:rFonts w:ascii="Arial" w:hAnsi="Arial"/>
          <w:i/>
          <w:iCs/>
          <w:sz w:val="20"/>
        </w:rPr>
        <w:t xml:space="preserve">Leaders’ </w:t>
      </w:r>
      <w:proofErr w:type="spellStart"/>
      <w:r w:rsidRPr="00D06BC8">
        <w:rPr>
          <w:rFonts w:ascii="Arial" w:hAnsi="Arial"/>
          <w:i/>
          <w:iCs/>
          <w:sz w:val="20"/>
        </w:rPr>
        <w:t>Pledge</w:t>
      </w:r>
      <w:proofErr w:type="spellEnd"/>
      <w:r w:rsidRPr="00D06BC8">
        <w:rPr>
          <w:rFonts w:ascii="Arial" w:hAnsi="Arial"/>
          <w:i/>
          <w:iCs/>
          <w:sz w:val="20"/>
        </w:rPr>
        <w:t xml:space="preserve"> for Nature</w:t>
      </w:r>
      <w:r>
        <w:rPr>
          <w:rFonts w:ascii="Arial" w:hAnsi="Arial"/>
          <w:sz w:val="20"/>
        </w:rPr>
        <w:t xml:space="preserve"> (Déclaration des dirigeants pour la nature), le Cadre mondial de la biodiversité de Kunming-Montréal adopté à la 15</w:t>
      </w:r>
      <w:r w:rsidR="00AF2839" w:rsidRPr="00AF2839">
        <w:rPr>
          <w:rFonts w:ascii="Arial" w:hAnsi="Arial"/>
          <w:sz w:val="20"/>
          <w:vertAlign w:val="superscript"/>
        </w:rPr>
        <w:t>e</w:t>
      </w:r>
      <w:r w:rsidR="00A95CC5">
        <w:rPr>
          <w:rFonts w:ascii="Arial" w:hAnsi="Arial"/>
          <w:sz w:val="20"/>
        </w:rPr>
        <w:t> </w:t>
      </w:r>
      <w:r w:rsidR="0080342C">
        <w:rPr>
          <w:rFonts w:ascii="Arial" w:hAnsi="Arial"/>
          <w:sz w:val="20"/>
        </w:rPr>
        <w:t xml:space="preserve">réunion de la </w:t>
      </w:r>
      <w:r>
        <w:rPr>
          <w:rFonts w:ascii="Arial" w:hAnsi="Arial"/>
          <w:sz w:val="20"/>
        </w:rPr>
        <w:t>Conférence des Parties à la Convention sur la diversité biologique (CDB</w:t>
      </w:r>
      <w:r w:rsidR="00A95CC5">
        <w:rPr>
          <w:rFonts w:ascii="Arial" w:hAnsi="Arial"/>
          <w:sz w:val="20"/>
        </w:rPr>
        <w:t> </w:t>
      </w:r>
      <w:r>
        <w:rPr>
          <w:rFonts w:ascii="Arial" w:hAnsi="Arial"/>
          <w:sz w:val="20"/>
        </w:rPr>
        <w:t xml:space="preserve">COP15) et l’Accord </w:t>
      </w:r>
      <w:r w:rsidR="00A647B1">
        <w:rPr>
          <w:rFonts w:ascii="Arial" w:hAnsi="Arial"/>
          <w:sz w:val="20"/>
        </w:rPr>
        <w:t>d</w:t>
      </w:r>
      <w:r>
        <w:rPr>
          <w:rFonts w:ascii="Arial" w:hAnsi="Arial"/>
          <w:sz w:val="20"/>
        </w:rPr>
        <w:t xml:space="preserve">e la </w:t>
      </w:r>
      <w:r w:rsidR="00A647B1">
        <w:rPr>
          <w:rFonts w:ascii="Arial" w:hAnsi="Arial"/>
          <w:sz w:val="20"/>
        </w:rPr>
        <w:t>CNU</w:t>
      </w:r>
      <w:r w:rsidR="00E57C5D">
        <w:rPr>
          <w:rFonts w:ascii="Arial" w:hAnsi="Arial"/>
          <w:sz w:val="20"/>
        </w:rPr>
        <w:t xml:space="preserve">DM </w:t>
      </w:r>
      <w:r>
        <w:rPr>
          <w:rFonts w:ascii="Arial" w:hAnsi="Arial"/>
          <w:sz w:val="20"/>
        </w:rPr>
        <w:t>portant sur la conservation et l’utilisation durable de la diversité biologique marine des zones ne relevant pas de la juridiction nationale (Accord BBNJ)</w:t>
      </w:r>
      <w:r w:rsidR="006F1E17">
        <w:rPr>
          <w:rFonts w:ascii="Arial" w:hAnsi="Arial"/>
          <w:sz w:val="20"/>
        </w:rPr>
        <w:t>,</w:t>
      </w:r>
      <w:r>
        <w:rPr>
          <w:rFonts w:ascii="Arial" w:hAnsi="Arial"/>
          <w:sz w:val="20"/>
        </w:rPr>
        <w:t xml:space="preserve"> </w:t>
      </w:r>
      <w:r w:rsidR="00232884">
        <w:rPr>
          <w:rFonts w:ascii="Arial" w:hAnsi="Arial"/>
          <w:sz w:val="20"/>
        </w:rPr>
        <w:t>qui entrera en vigueur en janvier</w:t>
      </w:r>
      <w:r w:rsidR="00A95CC5">
        <w:rPr>
          <w:rFonts w:ascii="Arial" w:hAnsi="Arial"/>
          <w:sz w:val="20"/>
        </w:rPr>
        <w:t> </w:t>
      </w:r>
      <w:r w:rsidR="00232884">
        <w:rPr>
          <w:rFonts w:ascii="Arial" w:hAnsi="Arial"/>
          <w:sz w:val="20"/>
        </w:rPr>
        <w:t xml:space="preserve">2026 </w:t>
      </w:r>
      <w:r>
        <w:rPr>
          <w:rFonts w:ascii="Arial" w:hAnsi="Arial"/>
          <w:sz w:val="20"/>
        </w:rPr>
        <w:t> ;</w:t>
      </w:r>
      <w:r w:rsidR="0080342C">
        <w:rPr>
          <w:rFonts w:ascii="Arial" w:hAnsi="Arial"/>
          <w:sz w:val="20"/>
        </w:rPr>
        <w:t xml:space="preserve"> et</w:t>
      </w:r>
    </w:p>
    <w:p w14:paraId="4A04C9F9" w14:textId="77777777" w:rsidR="00A94461" w:rsidRDefault="00A94461" w:rsidP="007B73CE">
      <w:pPr>
        <w:spacing w:after="0" w:line="240" w:lineRule="auto"/>
        <w:rPr>
          <w:rFonts w:ascii="Arial" w:hAnsi="Arial"/>
          <w:sz w:val="20"/>
        </w:rPr>
      </w:pPr>
    </w:p>
    <w:p w14:paraId="0B0D8FC9" w14:textId="4CF660B1" w:rsidR="00A94461" w:rsidRPr="007B73CE" w:rsidRDefault="00A94461" w:rsidP="007B73CE">
      <w:pPr>
        <w:spacing w:after="0" w:line="240" w:lineRule="auto"/>
        <w:rPr>
          <w:rFonts w:ascii="Arial" w:eastAsia="Arial" w:hAnsi="Arial" w:cs="Arial"/>
          <w:sz w:val="20"/>
          <w:szCs w:val="20"/>
        </w:rPr>
      </w:pPr>
      <w:r>
        <w:rPr>
          <w:rFonts w:ascii="Arial" w:hAnsi="Arial"/>
          <w:sz w:val="20"/>
        </w:rPr>
        <w:t>NOTANT</w:t>
      </w:r>
      <w:r w:rsidR="00083899">
        <w:rPr>
          <w:rFonts w:ascii="Arial" w:hAnsi="Arial"/>
          <w:sz w:val="20"/>
        </w:rPr>
        <w:t xml:space="preserve"> ÉGALEMENT l’importance de la protection </w:t>
      </w:r>
      <w:r w:rsidR="00232884">
        <w:rPr>
          <w:rFonts w:ascii="Arial" w:hAnsi="Arial"/>
          <w:sz w:val="20"/>
        </w:rPr>
        <w:t xml:space="preserve">des EMV, y compris </w:t>
      </w:r>
      <w:r w:rsidR="00083899">
        <w:rPr>
          <w:rFonts w:ascii="Arial" w:hAnsi="Arial"/>
          <w:sz w:val="20"/>
        </w:rPr>
        <w:t>des monts sous-marins</w:t>
      </w:r>
      <w:r w:rsidR="00232884">
        <w:rPr>
          <w:rFonts w:ascii="Arial" w:hAnsi="Arial"/>
          <w:sz w:val="20"/>
        </w:rPr>
        <w:t>,</w:t>
      </w:r>
      <w:r w:rsidR="00083899">
        <w:rPr>
          <w:rFonts w:ascii="Arial" w:hAnsi="Arial"/>
          <w:sz w:val="20"/>
        </w:rPr>
        <w:t xml:space="preserve"> </w:t>
      </w:r>
      <w:r w:rsidR="00232884">
        <w:rPr>
          <w:rFonts w:ascii="Arial" w:hAnsi="Arial"/>
          <w:sz w:val="20"/>
        </w:rPr>
        <w:t xml:space="preserve">des évents hydrothermaux et des coraux d’eau froide </w:t>
      </w:r>
      <w:r w:rsidR="00377611">
        <w:rPr>
          <w:rFonts w:ascii="Arial" w:hAnsi="Arial"/>
          <w:sz w:val="20"/>
        </w:rPr>
        <w:t>dans tou</w:t>
      </w:r>
      <w:r w:rsidR="00963DCA">
        <w:rPr>
          <w:rFonts w:ascii="Arial" w:hAnsi="Arial"/>
          <w:sz w:val="20"/>
        </w:rPr>
        <w:t>s les domaines réglementaires des ORG</w:t>
      </w:r>
      <w:r w:rsidR="00251008">
        <w:rPr>
          <w:rFonts w:ascii="Arial" w:hAnsi="Arial"/>
          <w:sz w:val="20"/>
        </w:rPr>
        <w:t>P</w:t>
      </w:r>
      <w:r w:rsidR="00963DCA">
        <w:rPr>
          <w:rFonts w:ascii="Arial" w:hAnsi="Arial"/>
          <w:sz w:val="20"/>
        </w:rPr>
        <w:t xml:space="preserve">, de l’océan Austral en vertu de la </w:t>
      </w:r>
      <w:r w:rsidR="00963DCA" w:rsidRPr="00963DCA">
        <w:rPr>
          <w:rFonts w:ascii="Arial" w:hAnsi="Arial"/>
          <w:sz w:val="20"/>
        </w:rPr>
        <w:t>CCAMLR</w:t>
      </w:r>
      <w:r w:rsidR="00963DCA">
        <w:rPr>
          <w:rFonts w:ascii="Arial" w:hAnsi="Arial"/>
          <w:sz w:val="20"/>
        </w:rPr>
        <w:t xml:space="preserve"> ainsi que de toutes les zones ne relevant pas de la juridiction nationale</w:t>
      </w:r>
      <w:r w:rsidR="0080342C">
        <w:rPr>
          <w:rFonts w:ascii="Arial" w:hAnsi="Arial"/>
          <w:sz w:val="20"/>
        </w:rPr>
        <w:t> ;</w:t>
      </w:r>
    </w:p>
    <w:p w14:paraId="1A805D68" w14:textId="77777777" w:rsidR="007B73CE" w:rsidRPr="007B73CE" w:rsidRDefault="007B73CE" w:rsidP="007B73CE">
      <w:pPr>
        <w:spacing w:after="0" w:line="240" w:lineRule="auto"/>
        <w:rPr>
          <w:rFonts w:ascii="Arial" w:eastAsia="Arial" w:hAnsi="Arial" w:cs="Arial"/>
          <w:sz w:val="20"/>
          <w:szCs w:val="20"/>
        </w:rPr>
      </w:pPr>
    </w:p>
    <w:p w14:paraId="0C2696B7" w14:textId="03349936" w:rsidR="00AA5793" w:rsidRPr="00AA5793" w:rsidRDefault="00AA5793" w:rsidP="007B73CE">
      <w:pPr>
        <w:spacing w:after="0" w:line="240" w:lineRule="auto"/>
        <w:rPr>
          <w:rFonts w:ascii="Arial" w:eastAsia="Arial" w:hAnsi="Arial" w:cs="Arial"/>
          <w:b/>
          <w:bCs/>
          <w:sz w:val="20"/>
          <w:szCs w:val="20"/>
        </w:rPr>
      </w:pPr>
      <w:r>
        <w:rPr>
          <w:rFonts w:ascii="Arial" w:hAnsi="Arial"/>
          <w:b/>
          <w:sz w:val="20"/>
        </w:rPr>
        <w:t>Le Congrès mondial de la nature</w:t>
      </w:r>
      <w:r w:rsidR="00A95CC5">
        <w:rPr>
          <w:rFonts w:ascii="Arial" w:hAnsi="Arial"/>
          <w:b/>
          <w:sz w:val="20"/>
        </w:rPr>
        <w:t> </w:t>
      </w:r>
      <w:r>
        <w:rPr>
          <w:rFonts w:ascii="Arial" w:hAnsi="Arial"/>
          <w:b/>
          <w:sz w:val="20"/>
        </w:rPr>
        <w:t>2025 de l’UICN, lors de sa session à Abou Dhabi, Émirats arabes unis :</w:t>
      </w:r>
    </w:p>
    <w:p w14:paraId="78F9FAE2" w14:textId="77777777" w:rsidR="003F55BE" w:rsidRDefault="003F55BE" w:rsidP="007B73CE">
      <w:pPr>
        <w:spacing w:after="0" w:line="240" w:lineRule="auto"/>
        <w:rPr>
          <w:rFonts w:ascii="Arial" w:eastAsia="Arial" w:hAnsi="Arial" w:cs="Arial"/>
          <w:sz w:val="20"/>
          <w:szCs w:val="20"/>
        </w:rPr>
      </w:pPr>
    </w:p>
    <w:p w14:paraId="1F3C63A9" w14:textId="321E26CA" w:rsidR="00206ACD" w:rsidRPr="007B73CE" w:rsidRDefault="00206ACD" w:rsidP="00206ACD">
      <w:pPr>
        <w:spacing w:after="0" w:line="240" w:lineRule="auto"/>
        <w:rPr>
          <w:rFonts w:ascii="Arial" w:eastAsia="Arial" w:hAnsi="Arial" w:cs="Arial"/>
          <w:sz w:val="20"/>
          <w:szCs w:val="20"/>
        </w:rPr>
      </w:pPr>
      <w:r>
        <w:rPr>
          <w:rFonts w:ascii="Arial" w:hAnsi="Arial"/>
          <w:sz w:val="20"/>
        </w:rPr>
        <w:t>1. DEMANDE au Directeur général et aux Commissions, dans le cadre de la mise en œuvre du Programme de l</w:t>
      </w:r>
      <w:r w:rsidR="00A95CC5">
        <w:rPr>
          <w:rFonts w:ascii="Arial" w:hAnsi="Arial"/>
          <w:sz w:val="20"/>
        </w:rPr>
        <w:t>’</w:t>
      </w:r>
      <w:r>
        <w:rPr>
          <w:rFonts w:ascii="Arial" w:hAnsi="Arial"/>
          <w:sz w:val="20"/>
        </w:rPr>
        <w:t>UICN</w:t>
      </w:r>
      <w:r w:rsidR="00A95CC5">
        <w:rPr>
          <w:rFonts w:ascii="Arial" w:hAnsi="Arial"/>
          <w:sz w:val="20"/>
        </w:rPr>
        <w:t> </w:t>
      </w:r>
      <w:r>
        <w:rPr>
          <w:rFonts w:ascii="Arial" w:hAnsi="Arial"/>
          <w:sz w:val="20"/>
        </w:rPr>
        <w:t xml:space="preserve">2026-2029, de promouvoir cette Résolution auprès des ORGP, </w:t>
      </w:r>
      <w:r w:rsidR="00AC6B4A">
        <w:rPr>
          <w:rFonts w:ascii="Arial" w:hAnsi="Arial"/>
          <w:sz w:val="20"/>
        </w:rPr>
        <w:t xml:space="preserve">des accords multilatéraux et </w:t>
      </w:r>
      <w:r>
        <w:rPr>
          <w:rFonts w:ascii="Arial" w:hAnsi="Arial"/>
          <w:sz w:val="20"/>
        </w:rPr>
        <w:t>des autres instruments et cadres juridiques pertinents</w:t>
      </w:r>
      <w:r w:rsidR="00437D3E">
        <w:rPr>
          <w:rFonts w:ascii="Arial" w:hAnsi="Arial"/>
          <w:sz w:val="20"/>
        </w:rPr>
        <w:t xml:space="preserve">, y compris la CCAMLR et les </w:t>
      </w:r>
      <w:r w:rsidR="00437D3E">
        <w:rPr>
          <w:rFonts w:ascii="Arial" w:hAnsi="Arial"/>
          <w:sz w:val="20"/>
        </w:rPr>
        <w:lastRenderedPageBreak/>
        <w:t xml:space="preserve">conventions sur les </w:t>
      </w:r>
      <w:r w:rsidR="00E71EE3">
        <w:rPr>
          <w:rFonts w:ascii="Arial" w:hAnsi="Arial"/>
          <w:sz w:val="20"/>
        </w:rPr>
        <w:t>mers régionales</w:t>
      </w:r>
      <w:r w:rsidR="00437D3E">
        <w:rPr>
          <w:rFonts w:ascii="Arial" w:hAnsi="Arial"/>
          <w:sz w:val="20"/>
        </w:rPr>
        <w:t>,</w:t>
      </w:r>
      <w:r>
        <w:rPr>
          <w:rFonts w:ascii="Arial" w:hAnsi="Arial"/>
          <w:sz w:val="20"/>
        </w:rPr>
        <w:t xml:space="preserve"> ainsi </w:t>
      </w:r>
      <w:r w:rsidR="00EA3F9A">
        <w:rPr>
          <w:rFonts w:ascii="Arial" w:hAnsi="Arial"/>
          <w:sz w:val="20"/>
        </w:rPr>
        <w:t>qu</w:t>
      </w:r>
      <w:r w:rsidR="00923A8A">
        <w:rPr>
          <w:rFonts w:ascii="Arial" w:hAnsi="Arial"/>
          <w:sz w:val="20"/>
        </w:rPr>
        <w:t>’auprès</w:t>
      </w:r>
      <w:r w:rsidR="00EA3F9A">
        <w:rPr>
          <w:rFonts w:ascii="Arial" w:hAnsi="Arial"/>
          <w:sz w:val="20"/>
        </w:rPr>
        <w:t xml:space="preserve"> </w:t>
      </w:r>
      <w:r>
        <w:rPr>
          <w:rFonts w:ascii="Arial" w:hAnsi="Arial"/>
          <w:sz w:val="20"/>
        </w:rPr>
        <w:t xml:space="preserve">des organes mondiaux, régionaux, sous-régionaux et sectoriels et </w:t>
      </w:r>
      <w:r w:rsidR="001B06DA">
        <w:rPr>
          <w:rFonts w:ascii="Arial" w:hAnsi="Arial"/>
          <w:sz w:val="20"/>
        </w:rPr>
        <w:t>des</w:t>
      </w:r>
      <w:r>
        <w:rPr>
          <w:rFonts w:ascii="Arial" w:hAnsi="Arial"/>
          <w:sz w:val="20"/>
        </w:rPr>
        <w:t xml:space="preserve"> États à titre individuel.</w:t>
      </w:r>
    </w:p>
    <w:p w14:paraId="353722BC" w14:textId="77777777" w:rsidR="00206ACD" w:rsidRDefault="00206ACD" w:rsidP="007B73CE">
      <w:pPr>
        <w:spacing w:after="0" w:line="240" w:lineRule="auto"/>
        <w:rPr>
          <w:rFonts w:ascii="Arial" w:eastAsia="Arial" w:hAnsi="Arial" w:cs="Arial"/>
          <w:sz w:val="20"/>
          <w:szCs w:val="20"/>
        </w:rPr>
      </w:pPr>
    </w:p>
    <w:p w14:paraId="7965343D" w14:textId="57DACF36" w:rsidR="003F55BE" w:rsidRDefault="00206ACD" w:rsidP="007B73CE">
      <w:pPr>
        <w:spacing w:after="0" w:line="240" w:lineRule="auto"/>
        <w:rPr>
          <w:rFonts w:ascii="Arial" w:hAnsi="Arial" w:cs="Arial"/>
          <w:sz w:val="20"/>
          <w:szCs w:val="20"/>
        </w:rPr>
      </w:pPr>
      <w:r>
        <w:rPr>
          <w:rFonts w:ascii="Arial" w:hAnsi="Arial"/>
          <w:sz w:val="20"/>
        </w:rPr>
        <w:t>2. APPELLE tous les États Membres, à titre individuel, mais aussi au travers des ORGP/ARGP, des instruments et cadres juridiques ainsi que des organes mondiaux, régionaux, sous-régionaux et sectoriels pertinents, à :</w:t>
      </w:r>
    </w:p>
    <w:p w14:paraId="11153591" w14:textId="77777777" w:rsidR="003F55BE" w:rsidRDefault="003F55BE" w:rsidP="007B73CE">
      <w:pPr>
        <w:spacing w:after="0" w:line="240" w:lineRule="auto"/>
        <w:rPr>
          <w:rFonts w:ascii="Arial" w:hAnsi="Arial" w:cs="Arial"/>
          <w:sz w:val="20"/>
          <w:szCs w:val="20"/>
        </w:rPr>
      </w:pPr>
    </w:p>
    <w:p w14:paraId="04171037" w14:textId="3DC23A32" w:rsidR="003F55BE" w:rsidRDefault="1F69409D" w:rsidP="007B73CE">
      <w:pPr>
        <w:spacing w:after="0" w:line="240" w:lineRule="auto"/>
        <w:rPr>
          <w:rFonts w:ascii="Arial" w:hAnsi="Arial" w:cs="Arial"/>
          <w:sz w:val="20"/>
          <w:szCs w:val="20"/>
        </w:rPr>
      </w:pPr>
      <w:r>
        <w:rPr>
          <w:rFonts w:ascii="Arial" w:hAnsi="Arial"/>
          <w:sz w:val="20"/>
        </w:rPr>
        <w:t>a. mettre pleinement en œuvre les résolutions de l’Assemblée générale des Nations Unies (y compris les Résolutions 61/105 (2006), 64/72 (2009)</w:t>
      </w:r>
      <w:r w:rsidR="00232884" w:rsidRPr="00232884">
        <w:rPr>
          <w:rFonts w:ascii="Arial" w:hAnsi="Arial"/>
          <w:sz w:val="20"/>
        </w:rPr>
        <w:t xml:space="preserve">, 66/68 (2011), 71/123 (2016) </w:t>
      </w:r>
      <w:r>
        <w:rPr>
          <w:rFonts w:ascii="Arial" w:hAnsi="Arial"/>
          <w:sz w:val="20"/>
        </w:rPr>
        <w:t xml:space="preserve">et </w:t>
      </w:r>
      <w:r w:rsidR="00232884" w:rsidRPr="003B1AB1">
        <w:rPr>
          <w:rFonts w:ascii="Arial" w:eastAsia="Arial" w:hAnsi="Arial" w:cs="Arial"/>
          <w:sz w:val="20"/>
          <w:szCs w:val="20"/>
        </w:rPr>
        <w:t>77/118 (2022)</w:t>
      </w:r>
      <w:r>
        <w:rPr>
          <w:rFonts w:ascii="Arial" w:hAnsi="Arial"/>
          <w:sz w:val="20"/>
        </w:rPr>
        <w:t xml:space="preserve">) qui appellent à protéger les écosystèmes marins vulnérables, notamment les monts </w:t>
      </w:r>
      <w:r w:rsidR="00923A8A">
        <w:rPr>
          <w:rFonts w:ascii="Arial" w:hAnsi="Arial"/>
          <w:sz w:val="20"/>
        </w:rPr>
        <w:t>sous-marins</w:t>
      </w:r>
      <w:r>
        <w:rPr>
          <w:rFonts w:ascii="Arial" w:hAnsi="Arial"/>
          <w:sz w:val="20"/>
        </w:rPr>
        <w:t xml:space="preserve">, les coraux d’eau froide et les évents hydrothermaux situés dans les zones ne relevant pas de la juridiction nationale contre </w:t>
      </w:r>
      <w:r w:rsidR="0022540B">
        <w:rPr>
          <w:rFonts w:ascii="Arial" w:hAnsi="Arial"/>
          <w:sz w:val="20"/>
        </w:rPr>
        <w:t xml:space="preserve">les </w:t>
      </w:r>
      <w:r w:rsidR="00516520">
        <w:rPr>
          <w:rFonts w:ascii="Arial" w:hAnsi="Arial"/>
          <w:sz w:val="20"/>
        </w:rPr>
        <w:t xml:space="preserve">incidences négatives considérables causées par </w:t>
      </w:r>
      <w:r w:rsidR="0022540B">
        <w:rPr>
          <w:rFonts w:ascii="Arial" w:hAnsi="Arial"/>
          <w:sz w:val="20"/>
        </w:rPr>
        <w:t xml:space="preserve">les </w:t>
      </w:r>
      <w:r>
        <w:rPr>
          <w:rFonts w:ascii="Arial" w:hAnsi="Arial"/>
          <w:sz w:val="20"/>
        </w:rPr>
        <w:t xml:space="preserve">pratiques de pêche destructrices </w:t>
      </w:r>
      <w:r w:rsidR="00232884">
        <w:rPr>
          <w:rFonts w:ascii="Arial" w:hAnsi="Arial"/>
          <w:sz w:val="20"/>
        </w:rPr>
        <w:t xml:space="preserve">y compris </w:t>
      </w:r>
      <w:r w:rsidR="00763C60">
        <w:rPr>
          <w:rFonts w:ascii="Arial" w:hAnsi="Arial"/>
          <w:sz w:val="20"/>
        </w:rPr>
        <w:t xml:space="preserve">le </w:t>
      </w:r>
      <w:r>
        <w:rPr>
          <w:rFonts w:ascii="Arial" w:hAnsi="Arial"/>
          <w:sz w:val="20"/>
        </w:rPr>
        <w:t>chalutage de fond, reconnaissant l’importance et la valeur immenses des écosystèmes des grands fonds marins et de la diversité biologique qu’ils renferment ;</w:t>
      </w:r>
    </w:p>
    <w:p w14:paraId="37F313A1" w14:textId="77777777" w:rsidR="003F55BE" w:rsidRDefault="003F55BE" w:rsidP="007B73CE">
      <w:pPr>
        <w:spacing w:after="0" w:line="240" w:lineRule="auto"/>
        <w:rPr>
          <w:rFonts w:ascii="Arial" w:hAnsi="Arial" w:cs="Arial"/>
          <w:sz w:val="20"/>
          <w:szCs w:val="20"/>
        </w:rPr>
      </w:pPr>
    </w:p>
    <w:p w14:paraId="5EF691E7" w14:textId="7B0FD339" w:rsidR="003F55BE" w:rsidRDefault="1F69409D" w:rsidP="007B73CE">
      <w:pPr>
        <w:spacing w:after="0" w:line="240" w:lineRule="auto"/>
        <w:rPr>
          <w:rFonts w:ascii="Arial" w:hAnsi="Arial" w:cs="Arial"/>
          <w:sz w:val="20"/>
          <w:szCs w:val="20"/>
        </w:rPr>
      </w:pPr>
      <w:r>
        <w:rPr>
          <w:rFonts w:ascii="Arial" w:hAnsi="Arial"/>
          <w:sz w:val="20"/>
        </w:rPr>
        <w:t>b. soutenir et plaider pour la protection des monts sous-marins</w:t>
      </w:r>
      <w:r w:rsidR="002B5461">
        <w:rPr>
          <w:rFonts w:ascii="Arial" w:hAnsi="Arial"/>
          <w:sz w:val="20"/>
        </w:rPr>
        <w:t xml:space="preserve">, en s’appuyant sur </w:t>
      </w:r>
      <w:r w:rsidR="00675BAC">
        <w:rPr>
          <w:rFonts w:ascii="Arial" w:hAnsi="Arial"/>
          <w:sz w:val="20"/>
        </w:rPr>
        <w:t>les meilleures do</w:t>
      </w:r>
      <w:r w:rsidR="00A95CC5">
        <w:rPr>
          <w:rFonts w:ascii="Arial" w:hAnsi="Arial"/>
          <w:sz w:val="20"/>
        </w:rPr>
        <w:t xml:space="preserve">nnées scientifiques disponibles, </w:t>
      </w:r>
      <w:r>
        <w:rPr>
          <w:rFonts w:ascii="Arial" w:hAnsi="Arial"/>
          <w:sz w:val="20"/>
        </w:rPr>
        <w:t xml:space="preserve">et des monts sous-marins interconnectés (réseaux) ainsi que des espèces associées aux monts sous-marins </w:t>
      </w:r>
      <w:r w:rsidR="00232884">
        <w:rPr>
          <w:rFonts w:ascii="Arial" w:hAnsi="Arial"/>
          <w:sz w:val="20"/>
        </w:rPr>
        <w:t>tel</w:t>
      </w:r>
      <w:r w:rsidR="00E466C4">
        <w:rPr>
          <w:rFonts w:ascii="Arial" w:hAnsi="Arial"/>
          <w:sz w:val="20"/>
        </w:rPr>
        <w:t>le</w:t>
      </w:r>
      <w:r w:rsidR="00232884">
        <w:rPr>
          <w:rFonts w:ascii="Arial" w:hAnsi="Arial"/>
          <w:sz w:val="20"/>
        </w:rPr>
        <w:t xml:space="preserve">s que </w:t>
      </w:r>
      <w:r w:rsidR="00E466C4">
        <w:rPr>
          <w:rFonts w:ascii="Arial" w:hAnsi="Arial"/>
          <w:sz w:val="20"/>
        </w:rPr>
        <w:t>des mammifères marins, des élasmobranches, ainsi que</w:t>
      </w:r>
      <w:r>
        <w:rPr>
          <w:rFonts w:ascii="Arial" w:hAnsi="Arial"/>
          <w:sz w:val="20"/>
        </w:rPr>
        <w:t xml:space="preserve"> les écosystèmes marins vulnérables et les stocks de poissons pélagiques</w:t>
      </w:r>
      <w:r w:rsidR="00E466C4" w:rsidRPr="00E466C4">
        <w:rPr>
          <w:rFonts w:ascii="Arial" w:hAnsi="Arial"/>
          <w:sz w:val="20"/>
        </w:rPr>
        <w:t xml:space="preserve"> </w:t>
      </w:r>
      <w:r w:rsidR="00E466C4">
        <w:rPr>
          <w:rFonts w:ascii="Arial" w:hAnsi="Arial"/>
          <w:sz w:val="20"/>
        </w:rPr>
        <w:t>associés</w:t>
      </w:r>
      <w:r>
        <w:rPr>
          <w:rFonts w:ascii="Arial" w:hAnsi="Arial"/>
          <w:sz w:val="20"/>
        </w:rPr>
        <w:t>, auprès des ORGP/ARGP et des autres instruments et cadres juridiques ainsi que des organes mondiaux, régionaux, sous-régionaux et sectoriels pertinents ;</w:t>
      </w:r>
      <w:r w:rsidR="008F7B8F">
        <w:rPr>
          <w:rFonts w:ascii="Arial" w:hAnsi="Arial"/>
          <w:sz w:val="20"/>
        </w:rPr>
        <w:t xml:space="preserve"> </w:t>
      </w:r>
    </w:p>
    <w:p w14:paraId="4EC277A1" w14:textId="77777777" w:rsidR="003F55BE" w:rsidRDefault="003F55BE" w:rsidP="007B73CE">
      <w:pPr>
        <w:spacing w:after="0" w:line="240" w:lineRule="auto"/>
        <w:rPr>
          <w:rFonts w:ascii="Arial" w:hAnsi="Arial" w:cs="Arial"/>
          <w:sz w:val="20"/>
          <w:szCs w:val="20"/>
        </w:rPr>
      </w:pPr>
    </w:p>
    <w:p w14:paraId="2FFA998C" w14:textId="2C679C9D" w:rsidR="00B65D13" w:rsidRDefault="1F69409D" w:rsidP="007B73CE">
      <w:pPr>
        <w:spacing w:after="0" w:line="240" w:lineRule="auto"/>
        <w:rPr>
          <w:rFonts w:ascii="Arial" w:hAnsi="Arial"/>
          <w:sz w:val="20"/>
        </w:rPr>
      </w:pPr>
      <w:r>
        <w:rPr>
          <w:rFonts w:ascii="Arial" w:hAnsi="Arial"/>
          <w:sz w:val="20"/>
        </w:rPr>
        <w:t xml:space="preserve">c. soutenir et opérer une transition vers </w:t>
      </w:r>
      <w:r w:rsidR="00E466C4">
        <w:rPr>
          <w:rFonts w:ascii="Arial" w:hAnsi="Arial"/>
          <w:sz w:val="20"/>
        </w:rPr>
        <w:t>l’abandon</w:t>
      </w:r>
      <w:r>
        <w:rPr>
          <w:rFonts w:ascii="Arial" w:hAnsi="Arial"/>
          <w:sz w:val="20"/>
        </w:rPr>
        <w:t xml:space="preserve"> </w:t>
      </w:r>
      <w:r w:rsidR="00E466C4">
        <w:rPr>
          <w:rFonts w:ascii="Arial" w:hAnsi="Arial"/>
          <w:sz w:val="20"/>
        </w:rPr>
        <w:t>du chalutage de fond</w:t>
      </w:r>
      <w:r>
        <w:rPr>
          <w:rFonts w:ascii="Arial" w:hAnsi="Arial"/>
          <w:sz w:val="20"/>
        </w:rPr>
        <w:t xml:space="preserve"> </w:t>
      </w:r>
      <w:r w:rsidR="00E466C4">
        <w:rPr>
          <w:rFonts w:ascii="Arial" w:hAnsi="Arial"/>
          <w:sz w:val="20"/>
        </w:rPr>
        <w:t>sur les</w:t>
      </w:r>
      <w:r>
        <w:rPr>
          <w:rFonts w:ascii="Arial" w:hAnsi="Arial"/>
          <w:sz w:val="20"/>
        </w:rPr>
        <w:t xml:space="preserve"> monts sous-marins </w:t>
      </w:r>
      <w:r w:rsidR="00E466C4" w:rsidRPr="00E466C4">
        <w:t xml:space="preserve"> </w:t>
      </w:r>
      <w:r w:rsidR="00E466C4" w:rsidRPr="00E466C4">
        <w:rPr>
          <w:rFonts w:ascii="Arial" w:hAnsi="Arial"/>
          <w:sz w:val="20"/>
        </w:rPr>
        <w:t>lors de la révision de la pêche de fond par</w:t>
      </w:r>
      <w:r w:rsidRPr="00E466C4">
        <w:rPr>
          <w:rFonts w:ascii="Arial" w:hAnsi="Arial"/>
          <w:sz w:val="20"/>
        </w:rPr>
        <w:t xml:space="preserve"> </w:t>
      </w:r>
      <w:r>
        <w:rPr>
          <w:rFonts w:ascii="Arial" w:hAnsi="Arial"/>
          <w:sz w:val="20"/>
        </w:rPr>
        <w:t xml:space="preserve">l’Assemblée générale des Nations Unies </w:t>
      </w:r>
      <w:r w:rsidR="00E466C4">
        <w:rPr>
          <w:rFonts w:ascii="Arial" w:hAnsi="Arial"/>
          <w:sz w:val="20"/>
        </w:rPr>
        <w:t>à la fin de</w:t>
      </w:r>
      <w:r>
        <w:rPr>
          <w:rFonts w:ascii="Arial" w:hAnsi="Arial"/>
          <w:sz w:val="20"/>
        </w:rPr>
        <w:t xml:space="preserve"> 2026</w:t>
      </w:r>
      <w:r w:rsidR="007023CA">
        <w:rPr>
          <w:rFonts w:ascii="Arial" w:hAnsi="Arial"/>
          <w:sz w:val="20"/>
        </w:rPr>
        <w:t> ;</w:t>
      </w:r>
      <w:r w:rsidR="00A95CC5">
        <w:rPr>
          <w:rFonts w:ascii="Arial" w:hAnsi="Arial"/>
          <w:sz w:val="20"/>
        </w:rPr>
        <w:t xml:space="preserve"> et</w:t>
      </w:r>
    </w:p>
    <w:p w14:paraId="1DEFFCC4" w14:textId="77777777" w:rsidR="00A95CC5" w:rsidRDefault="00A95CC5" w:rsidP="007B73CE">
      <w:pPr>
        <w:spacing w:after="0" w:line="240" w:lineRule="auto"/>
        <w:rPr>
          <w:rFonts w:ascii="Arial" w:hAnsi="Arial"/>
          <w:sz w:val="20"/>
        </w:rPr>
      </w:pPr>
    </w:p>
    <w:p w14:paraId="4EC0EACE" w14:textId="21681151" w:rsidR="00B65D13" w:rsidRDefault="00B65D13" w:rsidP="007B73CE">
      <w:pPr>
        <w:spacing w:after="0" w:line="240" w:lineRule="auto"/>
        <w:rPr>
          <w:rFonts w:ascii="Arial" w:hAnsi="Arial" w:cs="Arial"/>
          <w:sz w:val="20"/>
          <w:szCs w:val="20"/>
        </w:rPr>
      </w:pPr>
      <w:r>
        <w:rPr>
          <w:rFonts w:ascii="Arial" w:hAnsi="Arial"/>
          <w:sz w:val="20"/>
        </w:rPr>
        <w:t xml:space="preserve">d. soutenir, </w:t>
      </w:r>
      <w:r w:rsidR="002848EF">
        <w:rPr>
          <w:rFonts w:ascii="Arial" w:hAnsi="Arial"/>
          <w:sz w:val="20"/>
        </w:rPr>
        <w:t xml:space="preserve">produire, partager et rassembler des connaissances scientifiques, techniques et culturelles sur les caractéristiques et l’importance des </w:t>
      </w:r>
      <w:r w:rsidR="00D50EF5">
        <w:rPr>
          <w:rFonts w:ascii="Arial" w:hAnsi="Arial"/>
          <w:sz w:val="20"/>
        </w:rPr>
        <w:t xml:space="preserve">écosystèmes marins vulnérables, en vue de faciliter </w:t>
      </w:r>
      <w:r w:rsidR="006F2DCA">
        <w:rPr>
          <w:rFonts w:ascii="Arial" w:hAnsi="Arial"/>
          <w:sz w:val="20"/>
        </w:rPr>
        <w:t>leur</w:t>
      </w:r>
      <w:r w:rsidR="00D50EF5">
        <w:rPr>
          <w:rFonts w:ascii="Arial" w:hAnsi="Arial"/>
          <w:sz w:val="20"/>
        </w:rPr>
        <w:t xml:space="preserve"> conservation régionale adaptée </w:t>
      </w:r>
      <w:r w:rsidR="00206B1F">
        <w:rPr>
          <w:rFonts w:ascii="Arial" w:hAnsi="Arial"/>
          <w:sz w:val="20"/>
        </w:rPr>
        <w:t>ainsi que</w:t>
      </w:r>
      <w:r w:rsidR="00D50EF5">
        <w:rPr>
          <w:rFonts w:ascii="Arial" w:hAnsi="Arial"/>
          <w:sz w:val="20"/>
        </w:rPr>
        <w:t xml:space="preserve"> de comprendre </w:t>
      </w:r>
      <w:r w:rsidR="007F6FC8">
        <w:rPr>
          <w:rFonts w:ascii="Arial" w:hAnsi="Arial"/>
          <w:sz w:val="20"/>
        </w:rPr>
        <w:t xml:space="preserve">leur héritage et </w:t>
      </w:r>
      <w:r w:rsidR="007E65C0">
        <w:rPr>
          <w:rFonts w:ascii="Arial" w:hAnsi="Arial"/>
          <w:sz w:val="20"/>
        </w:rPr>
        <w:t>d’élaborer des inventaires</w:t>
      </w:r>
      <w:r w:rsidR="007F6FC8">
        <w:rPr>
          <w:rFonts w:ascii="Arial" w:hAnsi="Arial"/>
          <w:sz w:val="20"/>
        </w:rPr>
        <w:t xml:space="preserve"> </w:t>
      </w:r>
      <w:r w:rsidR="007E65C0">
        <w:rPr>
          <w:rFonts w:ascii="Arial" w:hAnsi="Arial"/>
          <w:sz w:val="20"/>
        </w:rPr>
        <w:t>des</w:t>
      </w:r>
      <w:r w:rsidR="007F6FC8">
        <w:rPr>
          <w:rFonts w:ascii="Arial" w:hAnsi="Arial"/>
          <w:sz w:val="20"/>
        </w:rPr>
        <w:t xml:space="preserve"> monts sous-marins </w:t>
      </w:r>
      <w:r w:rsidR="007E65C0">
        <w:rPr>
          <w:rFonts w:ascii="Arial" w:hAnsi="Arial"/>
          <w:sz w:val="20"/>
        </w:rPr>
        <w:t>permettant d’</w:t>
      </w:r>
      <w:r w:rsidR="0050163E">
        <w:rPr>
          <w:rFonts w:ascii="Arial" w:hAnsi="Arial"/>
          <w:sz w:val="20"/>
        </w:rPr>
        <w:t>appuyer</w:t>
      </w:r>
      <w:r w:rsidR="007F6FC8">
        <w:rPr>
          <w:rFonts w:ascii="Arial" w:hAnsi="Arial"/>
          <w:sz w:val="20"/>
        </w:rPr>
        <w:t xml:space="preserve"> leur protection</w:t>
      </w:r>
      <w:r w:rsidR="0050163E">
        <w:rPr>
          <w:rFonts w:ascii="Arial" w:hAnsi="Arial"/>
          <w:sz w:val="20"/>
        </w:rPr>
        <w:t xml:space="preserve"> effective</w:t>
      </w:r>
      <w:r w:rsidR="007F6FC8">
        <w:rPr>
          <w:rFonts w:ascii="Arial" w:hAnsi="Arial"/>
          <w:sz w:val="20"/>
        </w:rPr>
        <w:t>.</w:t>
      </w:r>
    </w:p>
    <w:p w14:paraId="0671C304" w14:textId="77777777" w:rsidR="003F55BE" w:rsidRDefault="003F55BE" w:rsidP="007B73CE">
      <w:pPr>
        <w:spacing w:after="0" w:line="240" w:lineRule="auto"/>
        <w:rPr>
          <w:rFonts w:ascii="Arial" w:hAnsi="Arial" w:cs="Arial"/>
          <w:sz w:val="20"/>
          <w:szCs w:val="20"/>
        </w:rPr>
      </w:pPr>
    </w:p>
    <w:sectPr w:rsidR="003F55BE" w:rsidSect="0078590B">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B209C" w14:textId="77777777" w:rsidR="00BF22E6" w:rsidRDefault="00BF22E6" w:rsidP="006F1E17">
      <w:pPr>
        <w:spacing w:after="0" w:line="240" w:lineRule="auto"/>
      </w:pPr>
      <w:r>
        <w:separator/>
      </w:r>
    </w:p>
  </w:endnote>
  <w:endnote w:type="continuationSeparator" w:id="0">
    <w:p w14:paraId="2836B70A" w14:textId="77777777" w:rsidR="00BF22E6" w:rsidRDefault="00BF22E6" w:rsidP="006F1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76437" w14:textId="77777777" w:rsidR="006F1E17" w:rsidRDefault="006F1E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56303" w14:textId="77777777" w:rsidR="006F1E17" w:rsidRDefault="006F1E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BC3DC" w14:textId="77777777" w:rsidR="006F1E17" w:rsidRDefault="006F1E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C35DBF" w14:textId="77777777" w:rsidR="00BF22E6" w:rsidRDefault="00BF22E6" w:rsidP="006F1E17">
      <w:pPr>
        <w:spacing w:after="0" w:line="240" w:lineRule="auto"/>
      </w:pPr>
      <w:r>
        <w:separator/>
      </w:r>
    </w:p>
  </w:footnote>
  <w:footnote w:type="continuationSeparator" w:id="0">
    <w:p w14:paraId="52839DCB" w14:textId="77777777" w:rsidR="00BF22E6" w:rsidRDefault="00BF22E6" w:rsidP="006F1E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FC679" w14:textId="77777777" w:rsidR="006F1E17" w:rsidRDefault="006F1E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C0DF5" w14:textId="77777777" w:rsidR="006F1E17" w:rsidRDefault="006F1E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3D008" w14:textId="77777777" w:rsidR="006F1E17" w:rsidRDefault="006F1E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8855620"/>
    <w:rsid w:val="00083899"/>
    <w:rsid w:val="000B568D"/>
    <w:rsid w:val="000D23A3"/>
    <w:rsid w:val="001069C3"/>
    <w:rsid w:val="00124870"/>
    <w:rsid w:val="00156568"/>
    <w:rsid w:val="00163C62"/>
    <w:rsid w:val="001B06DA"/>
    <w:rsid w:val="001B5AA9"/>
    <w:rsid w:val="001D0A0D"/>
    <w:rsid w:val="001E07FD"/>
    <w:rsid w:val="00206ACD"/>
    <w:rsid w:val="00206B1F"/>
    <w:rsid w:val="00220A46"/>
    <w:rsid w:val="0022540B"/>
    <w:rsid w:val="00232884"/>
    <w:rsid w:val="00235A1F"/>
    <w:rsid w:val="00251008"/>
    <w:rsid w:val="002708C3"/>
    <w:rsid w:val="00280986"/>
    <w:rsid w:val="002848EF"/>
    <w:rsid w:val="002B2426"/>
    <w:rsid w:val="002B5461"/>
    <w:rsid w:val="002C1F5F"/>
    <w:rsid w:val="002E48DE"/>
    <w:rsid w:val="002F737B"/>
    <w:rsid w:val="003324D4"/>
    <w:rsid w:val="0035645F"/>
    <w:rsid w:val="00377611"/>
    <w:rsid w:val="003A0215"/>
    <w:rsid w:val="003C59EF"/>
    <w:rsid w:val="003E115E"/>
    <w:rsid w:val="003E3EFD"/>
    <w:rsid w:val="003F55BE"/>
    <w:rsid w:val="003F7EF1"/>
    <w:rsid w:val="00411FA5"/>
    <w:rsid w:val="00415147"/>
    <w:rsid w:val="00416946"/>
    <w:rsid w:val="00437D3E"/>
    <w:rsid w:val="00451CFB"/>
    <w:rsid w:val="00460482"/>
    <w:rsid w:val="004B10B9"/>
    <w:rsid w:val="004B61F2"/>
    <w:rsid w:val="004E3255"/>
    <w:rsid w:val="00501584"/>
    <w:rsid w:val="0050163E"/>
    <w:rsid w:val="00516520"/>
    <w:rsid w:val="005673E8"/>
    <w:rsid w:val="00570711"/>
    <w:rsid w:val="005718FB"/>
    <w:rsid w:val="00587C12"/>
    <w:rsid w:val="00595D3B"/>
    <w:rsid w:val="005A0F95"/>
    <w:rsid w:val="005A7C04"/>
    <w:rsid w:val="005D7C8A"/>
    <w:rsid w:val="0062770F"/>
    <w:rsid w:val="00637A00"/>
    <w:rsid w:val="006555CC"/>
    <w:rsid w:val="00675BAC"/>
    <w:rsid w:val="00684A63"/>
    <w:rsid w:val="006D52DC"/>
    <w:rsid w:val="006F1E17"/>
    <w:rsid w:val="006F2DCA"/>
    <w:rsid w:val="007023CA"/>
    <w:rsid w:val="00742226"/>
    <w:rsid w:val="00743E6A"/>
    <w:rsid w:val="00763C60"/>
    <w:rsid w:val="0078590B"/>
    <w:rsid w:val="007917BD"/>
    <w:rsid w:val="007B67AF"/>
    <w:rsid w:val="007B73CE"/>
    <w:rsid w:val="007E65C0"/>
    <w:rsid w:val="007E7E51"/>
    <w:rsid w:val="007F6FC8"/>
    <w:rsid w:val="0080342C"/>
    <w:rsid w:val="00824703"/>
    <w:rsid w:val="00885CAE"/>
    <w:rsid w:val="008B7165"/>
    <w:rsid w:val="008F0B4C"/>
    <w:rsid w:val="008F7B8F"/>
    <w:rsid w:val="00923A8A"/>
    <w:rsid w:val="00963DCA"/>
    <w:rsid w:val="00971217"/>
    <w:rsid w:val="0099739C"/>
    <w:rsid w:val="009A31A6"/>
    <w:rsid w:val="009F499C"/>
    <w:rsid w:val="00A01B34"/>
    <w:rsid w:val="00A5393A"/>
    <w:rsid w:val="00A603A4"/>
    <w:rsid w:val="00A647B1"/>
    <w:rsid w:val="00A6500E"/>
    <w:rsid w:val="00A673BB"/>
    <w:rsid w:val="00A94461"/>
    <w:rsid w:val="00A95CC5"/>
    <w:rsid w:val="00AA5793"/>
    <w:rsid w:val="00AC6B4A"/>
    <w:rsid w:val="00AD65A3"/>
    <w:rsid w:val="00AE499F"/>
    <w:rsid w:val="00AF2839"/>
    <w:rsid w:val="00B22652"/>
    <w:rsid w:val="00B65D13"/>
    <w:rsid w:val="00B74ADB"/>
    <w:rsid w:val="00B95F55"/>
    <w:rsid w:val="00BB770F"/>
    <w:rsid w:val="00BF22E6"/>
    <w:rsid w:val="00BF5329"/>
    <w:rsid w:val="00C01EF2"/>
    <w:rsid w:val="00C21BA7"/>
    <w:rsid w:val="00C5184F"/>
    <w:rsid w:val="00C5720B"/>
    <w:rsid w:val="00C815EC"/>
    <w:rsid w:val="00C82958"/>
    <w:rsid w:val="00C83B4A"/>
    <w:rsid w:val="00CA1D49"/>
    <w:rsid w:val="00CA3F1C"/>
    <w:rsid w:val="00CB45D8"/>
    <w:rsid w:val="00CE5C5F"/>
    <w:rsid w:val="00D06BC8"/>
    <w:rsid w:val="00D3507C"/>
    <w:rsid w:val="00D50EF5"/>
    <w:rsid w:val="00D81E9D"/>
    <w:rsid w:val="00D82E0F"/>
    <w:rsid w:val="00DC04AE"/>
    <w:rsid w:val="00DC4EAA"/>
    <w:rsid w:val="00DF00EC"/>
    <w:rsid w:val="00DF5E4B"/>
    <w:rsid w:val="00E170EE"/>
    <w:rsid w:val="00E36DEF"/>
    <w:rsid w:val="00E466C4"/>
    <w:rsid w:val="00E57C5D"/>
    <w:rsid w:val="00E71EE3"/>
    <w:rsid w:val="00EA3F9A"/>
    <w:rsid w:val="00EC0905"/>
    <w:rsid w:val="00EC2151"/>
    <w:rsid w:val="00EC31AC"/>
    <w:rsid w:val="00ED10F9"/>
    <w:rsid w:val="00EF2A7B"/>
    <w:rsid w:val="18855620"/>
    <w:rsid w:val="1F69409D"/>
    <w:rsid w:val="3C9C1F1D"/>
    <w:rsid w:val="5A00216B"/>
    <w:rsid w:val="6CF9E8D1"/>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55620"/>
  <w15:docId w15:val="{F5DC5076-E48B-47B0-948F-BEDFCC4A2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CommentReference">
    <w:name w:val="annotation reference"/>
    <w:basedOn w:val="DefaultParagraphFont"/>
    <w:uiPriority w:val="99"/>
    <w:semiHidden/>
    <w:unhideWhenUsed/>
    <w:rsid w:val="00EC31AC"/>
    <w:rPr>
      <w:sz w:val="16"/>
      <w:szCs w:val="16"/>
    </w:rPr>
  </w:style>
  <w:style w:type="paragraph" w:styleId="CommentText">
    <w:name w:val="annotation text"/>
    <w:basedOn w:val="Normal"/>
    <w:link w:val="CommentTextChar"/>
    <w:uiPriority w:val="99"/>
    <w:unhideWhenUsed/>
    <w:rsid w:val="00EC31AC"/>
    <w:pPr>
      <w:spacing w:line="240" w:lineRule="auto"/>
    </w:pPr>
    <w:rPr>
      <w:sz w:val="20"/>
      <w:szCs w:val="20"/>
    </w:rPr>
  </w:style>
  <w:style w:type="character" w:customStyle="1" w:styleId="CommentTextChar">
    <w:name w:val="Comment Text Char"/>
    <w:basedOn w:val="DefaultParagraphFont"/>
    <w:link w:val="CommentText"/>
    <w:uiPriority w:val="99"/>
    <w:rsid w:val="00EC31AC"/>
    <w:rPr>
      <w:sz w:val="20"/>
      <w:szCs w:val="20"/>
    </w:rPr>
  </w:style>
  <w:style w:type="paragraph" w:styleId="CommentSubject">
    <w:name w:val="annotation subject"/>
    <w:basedOn w:val="CommentText"/>
    <w:next w:val="CommentText"/>
    <w:link w:val="CommentSubjectChar"/>
    <w:uiPriority w:val="99"/>
    <w:semiHidden/>
    <w:unhideWhenUsed/>
    <w:rsid w:val="00EC31AC"/>
    <w:rPr>
      <w:b/>
      <w:bCs/>
    </w:rPr>
  </w:style>
  <w:style w:type="character" w:customStyle="1" w:styleId="CommentSubjectChar">
    <w:name w:val="Comment Subject Char"/>
    <w:basedOn w:val="CommentTextChar"/>
    <w:link w:val="CommentSubject"/>
    <w:uiPriority w:val="99"/>
    <w:semiHidden/>
    <w:rsid w:val="00EC31AC"/>
    <w:rPr>
      <w:b/>
      <w:bCs/>
      <w:sz w:val="20"/>
      <w:szCs w:val="20"/>
    </w:rPr>
  </w:style>
  <w:style w:type="character" w:styleId="Hyperlink">
    <w:name w:val="Hyperlink"/>
    <w:basedOn w:val="DefaultParagraphFont"/>
    <w:uiPriority w:val="99"/>
    <w:unhideWhenUsed/>
    <w:rsid w:val="00EC31AC"/>
    <w:rPr>
      <w:color w:val="467886" w:themeColor="hyperlink"/>
      <w:u w:val="single"/>
    </w:rPr>
  </w:style>
  <w:style w:type="character" w:customStyle="1" w:styleId="UnresolvedMention1">
    <w:name w:val="Unresolved Mention1"/>
    <w:basedOn w:val="DefaultParagraphFont"/>
    <w:uiPriority w:val="99"/>
    <w:semiHidden/>
    <w:unhideWhenUsed/>
    <w:rsid w:val="00EC31AC"/>
    <w:rPr>
      <w:color w:val="605E5C"/>
      <w:shd w:val="clear" w:color="auto" w:fill="E1DFDD"/>
    </w:rPr>
  </w:style>
  <w:style w:type="paragraph" w:styleId="Revision">
    <w:name w:val="Revision"/>
    <w:hidden/>
    <w:uiPriority w:val="99"/>
    <w:semiHidden/>
    <w:rsid w:val="00D82E0F"/>
    <w:pPr>
      <w:spacing w:after="0" w:line="240" w:lineRule="auto"/>
    </w:pPr>
  </w:style>
  <w:style w:type="paragraph" w:styleId="ListParagraph">
    <w:name w:val="List Paragraph"/>
    <w:basedOn w:val="Normal"/>
    <w:uiPriority w:val="34"/>
    <w:qFormat/>
    <w:rsid w:val="002708C3"/>
    <w:pPr>
      <w:ind w:left="720"/>
      <w:contextualSpacing/>
    </w:pPr>
  </w:style>
  <w:style w:type="paragraph" w:styleId="Header">
    <w:name w:val="header"/>
    <w:basedOn w:val="Normal"/>
    <w:link w:val="HeaderChar"/>
    <w:uiPriority w:val="99"/>
    <w:unhideWhenUsed/>
    <w:rsid w:val="006F1E17"/>
    <w:pPr>
      <w:tabs>
        <w:tab w:val="center" w:pos="4536"/>
        <w:tab w:val="right" w:pos="9072"/>
      </w:tabs>
      <w:spacing w:after="0" w:line="240" w:lineRule="auto"/>
    </w:pPr>
  </w:style>
  <w:style w:type="character" w:customStyle="1" w:styleId="HeaderChar">
    <w:name w:val="Header Char"/>
    <w:basedOn w:val="DefaultParagraphFont"/>
    <w:link w:val="Header"/>
    <w:uiPriority w:val="99"/>
    <w:rsid w:val="006F1E17"/>
  </w:style>
  <w:style w:type="paragraph" w:styleId="Footer">
    <w:name w:val="footer"/>
    <w:basedOn w:val="Normal"/>
    <w:link w:val="FooterChar"/>
    <w:uiPriority w:val="99"/>
    <w:unhideWhenUsed/>
    <w:rsid w:val="006F1E17"/>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1E17"/>
  </w:style>
  <w:style w:type="paragraph" w:styleId="BalloonText">
    <w:name w:val="Balloon Text"/>
    <w:basedOn w:val="Normal"/>
    <w:link w:val="BalloonTextChar"/>
    <w:uiPriority w:val="99"/>
    <w:semiHidden/>
    <w:unhideWhenUsed/>
    <w:rsid w:val="002328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28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995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AB429C-C913-4170-8E67-B75DBF83EE3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F06E1BD7-9525-435C-A116-4E2D5BBA4C30}">
  <ds:schemaRefs>
    <ds:schemaRef ds:uri="http://schemas.microsoft.com/sharepoint/v3/contenttype/forms"/>
  </ds:schemaRefs>
</ds:datastoreItem>
</file>

<file path=customXml/itemProps3.xml><?xml version="1.0" encoding="utf-8"?>
<ds:datastoreItem xmlns:ds="http://schemas.openxmlformats.org/officeDocument/2006/customXml" ds:itemID="{A5F2FA10-ADC0-4BDC-94B8-431E7550A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928</Words>
  <Characters>5294</Characters>
  <Application>Microsoft Office Word</Application>
  <DocSecurity>4</DocSecurity>
  <Lines>44</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6210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Secretariat</cp:lastModifiedBy>
  <cp:revision>2</cp:revision>
  <dcterms:created xsi:type="dcterms:W3CDTF">2025-10-13T16:31:00Z</dcterms:created>
  <dcterms:modified xsi:type="dcterms:W3CDTF">2025-10-13T16:31:00Z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